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1067F549"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FF6609">
        <w:rPr>
          <w:rFonts w:eastAsia="Times New Roman" w:cs="Times New Roman"/>
          <w:b/>
          <w:lang w:eastAsia="cs-CZ"/>
        </w:rPr>
        <w:t>2</w:t>
      </w:r>
    </w:p>
    <w:p w14:paraId="273FF163" w14:textId="6E9A44BA"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2E3C85">
        <w:rPr>
          <w:rFonts w:eastAsia="Times New Roman" w:cs="Times New Roman"/>
          <w:lang w:eastAsia="cs-CZ"/>
        </w:rPr>
        <w:t>Číslo veřejné zakázky:</w:t>
      </w:r>
      <w:r w:rsidRPr="002E3C85">
        <w:rPr>
          <w:rFonts w:eastAsia="Times New Roman" w:cs="Times New Roman"/>
          <w:b/>
          <w:lang w:eastAsia="cs-CZ"/>
        </w:rPr>
        <w:t xml:space="preserve"> </w:t>
      </w:r>
      <w:r w:rsidR="00A64AC7" w:rsidRPr="002E3C85">
        <w:rPr>
          <w:rFonts w:eastAsia="Times New Roman" w:cs="Times New Roman"/>
          <w:b/>
          <w:lang w:eastAsia="cs-CZ"/>
        </w:rPr>
        <w:t>6542</w:t>
      </w:r>
      <w:r w:rsidR="00FF6609" w:rsidRPr="002E3C85">
        <w:rPr>
          <w:rFonts w:eastAsia="Times New Roman" w:cs="Times New Roman"/>
          <w:b/>
          <w:lang w:eastAsia="cs-CZ"/>
        </w:rPr>
        <w:t>2</w:t>
      </w:r>
      <w:r w:rsidR="002E3C85" w:rsidRPr="002E3C85">
        <w:rPr>
          <w:rFonts w:eastAsia="Times New Roman" w:cs="Times New Roman"/>
          <w:b/>
          <w:lang w:eastAsia="cs-CZ"/>
        </w:rPr>
        <w:t>017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2E3C85">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3FE075B2" w:rsidR="00C421F2" w:rsidRPr="00753F1B" w:rsidRDefault="00C421F2" w:rsidP="00C421F2">
      <w:pPr>
        <w:pStyle w:val="acnormal"/>
        <w:tabs>
          <w:tab w:val="left" w:pos="1701"/>
        </w:tabs>
        <w:spacing w:before="0" w:after="0"/>
        <w:rPr>
          <w:rFonts w:ascii="Verdana" w:hAnsi="Verdana" w:cstheme="minorHAnsi"/>
          <w:sz w:val="18"/>
          <w:szCs w:val="18"/>
        </w:rPr>
      </w:pPr>
      <w:r w:rsidRPr="002E3C85">
        <w:rPr>
          <w:rFonts w:ascii="Verdana" w:hAnsi="Verdana" w:cstheme="minorHAnsi"/>
          <w:sz w:val="18"/>
          <w:szCs w:val="18"/>
        </w:rPr>
        <w:t>číslo účtu:</w:t>
      </w:r>
      <w:r w:rsidRPr="002E3C85">
        <w:rPr>
          <w:rFonts w:ascii="Verdana" w:hAnsi="Verdana" w:cstheme="minorHAnsi"/>
          <w:sz w:val="18"/>
          <w:szCs w:val="18"/>
        </w:rPr>
        <w:tab/>
      </w:r>
      <w:r w:rsidRPr="002E3C85">
        <w:rPr>
          <w:rFonts w:ascii="Verdana" w:hAnsi="Verdana" w:cstheme="minorHAnsi"/>
          <w:sz w:val="18"/>
          <w:szCs w:val="18"/>
        </w:rPr>
        <w:tab/>
      </w:r>
      <w:r w:rsidR="000A54CF" w:rsidRPr="002E3C85">
        <w:rPr>
          <w:rFonts w:asciiTheme="majorHAnsi" w:hAnsiTheme="majorHAnsi"/>
          <w:sz w:val="18"/>
          <w:szCs w:val="18"/>
        </w:rPr>
        <w:t>70009-</w:t>
      </w:r>
      <w:r w:rsidR="000A54CF" w:rsidRPr="002E3C85">
        <w:rPr>
          <w:rFonts w:ascii="Verdana" w:hAnsi="Verdana" w:cstheme="minorHAnsi"/>
          <w:sz w:val="18"/>
          <w:szCs w:val="18"/>
        </w:rPr>
        <w:t>00</w:t>
      </w:r>
      <w:r w:rsidRPr="002E3C85">
        <w:rPr>
          <w:rFonts w:ascii="Verdana" w:hAnsi="Verdana" w:cstheme="minorHAnsi"/>
          <w:sz w:val="18"/>
          <w:szCs w:val="18"/>
        </w:rPr>
        <w:t>14606011/0710</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131DEF1" w:rsidR="00D85C5B" w:rsidRPr="000C5DA0" w:rsidRDefault="00D85C5B" w:rsidP="006A04C7">
      <w:pPr>
        <w:jc w:val="both"/>
        <w:rPr>
          <w:lang w:eastAsia="cs-CZ"/>
        </w:rPr>
      </w:pPr>
      <w:r w:rsidRPr="002E3C85">
        <w:rPr>
          <w:lang w:eastAsia="cs-CZ"/>
        </w:rPr>
        <w:lastRenderedPageBreak/>
        <w:t xml:space="preserve">Tato smlouva je uzavřena na základě výsledků zadávacího řízení veřejné zakázky s názvem </w:t>
      </w:r>
      <w:r w:rsidR="002E3C85" w:rsidRPr="002E3C85">
        <w:rPr>
          <w:lang w:eastAsia="cs-CZ"/>
        </w:rPr>
        <w:t>„Dodávka ocelových pražců Y</w:t>
      </w:r>
      <w:r w:rsidR="005B2661" w:rsidRPr="002E3C85">
        <w:rPr>
          <w:lang w:eastAsia="cs-CZ"/>
        </w:rPr>
        <w:t>“</w:t>
      </w:r>
      <w:r w:rsidRPr="002E3C85">
        <w:rPr>
          <w:lang w:eastAsia="cs-CZ"/>
        </w:rPr>
        <w:t>,</w:t>
      </w:r>
      <w:r w:rsidR="005B2661" w:rsidRPr="002E3C85">
        <w:rPr>
          <w:lang w:eastAsia="cs-CZ"/>
        </w:rPr>
        <w:t xml:space="preserve"> </w:t>
      </w:r>
      <w:r w:rsidR="001C22E7" w:rsidRPr="002E3C85">
        <w:rPr>
          <w:rFonts w:eastAsia="Times New Roman" w:cs="Times New Roman"/>
          <w:lang w:eastAsia="cs-CZ"/>
        </w:rPr>
        <w:t>č.</w:t>
      </w:r>
      <w:r w:rsidR="005B2661" w:rsidRPr="002E3C85">
        <w:rPr>
          <w:rFonts w:eastAsia="Times New Roman" w:cs="Times New Roman"/>
          <w:lang w:eastAsia="cs-CZ"/>
        </w:rPr>
        <w:t xml:space="preserve"> </w:t>
      </w:r>
      <w:r w:rsidR="001C22E7" w:rsidRPr="002E3C85">
        <w:rPr>
          <w:rFonts w:eastAsia="Times New Roman" w:cs="Times New Roman"/>
          <w:lang w:eastAsia="cs-CZ"/>
        </w:rPr>
        <w:t>j. veřejné zakázky</w:t>
      </w:r>
      <w:r w:rsidR="00F20995" w:rsidRPr="002E3C85">
        <w:rPr>
          <w:rFonts w:eastAsia="Times New Roman" w:cs="Times New Roman"/>
          <w:lang w:eastAsia="cs-CZ"/>
        </w:rPr>
        <w:t xml:space="preserve"> </w:t>
      </w:r>
      <w:r w:rsidR="002E3C85" w:rsidRPr="002E3C85">
        <w:rPr>
          <w:rFonts w:eastAsia="Times New Roman" w:cs="Times New Roman"/>
          <w:lang w:eastAsia="cs-CZ"/>
        </w:rPr>
        <w:t>13315/2022-SŽ-OŘ PLZ-ÚPI</w:t>
      </w:r>
      <w:r w:rsidR="001C22E7" w:rsidRPr="002E3C85">
        <w:rPr>
          <w:rFonts w:eastAsia="Times New Roman" w:cs="Times New Roman"/>
          <w:lang w:eastAsia="cs-CZ"/>
        </w:rPr>
        <w:t xml:space="preserve"> </w:t>
      </w:r>
      <w:r w:rsidRPr="002E3C85">
        <w:rPr>
          <w:lang w:eastAsia="cs-CZ"/>
        </w:rPr>
        <w:t>(dále jen „veřejná zakázka“). Jednotlivá ustanovení</w:t>
      </w:r>
      <w:r w:rsidRPr="000C5DA0">
        <w:rPr>
          <w:lang w:eastAsia="cs-CZ"/>
        </w:rPr>
        <w:t xml:space="preserve">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4A31EE45" w14:textId="77777777" w:rsidR="003D682F" w:rsidRDefault="00B219BB" w:rsidP="006A04C7">
      <w:pPr>
        <w:numPr>
          <w:ilvl w:val="1"/>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B74357">
        <w:rPr>
          <w:rFonts w:eastAsia="Times New Roman" w:cs="Times New Roman"/>
          <w:lang w:eastAsia="cs-CZ"/>
        </w:rPr>
        <w:t>Předmětem koupě j</w:t>
      </w:r>
      <w:r w:rsidR="002E3C85">
        <w:rPr>
          <w:rFonts w:eastAsia="Times New Roman" w:cs="Times New Roman"/>
          <w:lang w:eastAsia="cs-CZ"/>
        </w:rPr>
        <w:t>sou ocelové pražce Y</w:t>
      </w:r>
      <w:r w:rsidR="00D85C5B" w:rsidRPr="00B74357">
        <w:rPr>
          <w:rFonts w:eastAsia="Times New Roman" w:cs="Times New Roman"/>
          <w:lang w:eastAsia="cs-CZ"/>
        </w:rPr>
        <w:t>.</w:t>
      </w:r>
    </w:p>
    <w:p w14:paraId="2529F591" w14:textId="46FE9FB1" w:rsidR="003D682F" w:rsidRPr="003D682F" w:rsidRDefault="00D85C5B" w:rsidP="006A04C7">
      <w:pPr>
        <w:numPr>
          <w:ilvl w:val="1"/>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3D682F">
        <w:rPr>
          <w:rFonts w:eastAsia="Times New Roman" w:cs="Times New Roman"/>
          <w:lang w:eastAsia="cs-CZ"/>
        </w:rPr>
        <w:t>Přesná specifikace</w:t>
      </w:r>
      <w:r w:rsidR="003D682F" w:rsidRPr="003D682F">
        <w:rPr>
          <w:rFonts w:eastAsia="Times New Roman" w:cs="Times New Roman"/>
          <w:lang w:eastAsia="cs-CZ"/>
        </w:rPr>
        <w:t xml:space="preserve">: </w:t>
      </w:r>
      <w:r w:rsidR="003D682F">
        <w:t>pražec vystrojený</w:t>
      </w:r>
      <w:r w:rsidR="003D682F">
        <w:rPr>
          <w:rFonts w:eastAsia="Times New Roman" w:cs="Times New Roman"/>
          <w:lang w:eastAsia="cs-CZ"/>
        </w:rPr>
        <w:t xml:space="preserve"> </w:t>
      </w:r>
      <w:r w:rsidR="003D682F">
        <w:t>pro pružné bezpodkladnicové upevnění, upevnění S 15, soustava S49 (kolejnice tv. 49E1), úklon kolejnice 1:40 s nominálním rozchodem 1435 mm a případným rozšířením rozchodu koleje v souladu s kladečským plánem součást ZD. Rozdělení pražců „I“ (vzdálenost upevňovacích uzlů 830mm)</w:t>
      </w:r>
    </w:p>
    <w:p w14:paraId="46F1124F" w14:textId="24EC03F7" w:rsidR="00D85C5B" w:rsidRPr="003D682F" w:rsidRDefault="00D85C5B" w:rsidP="006A04C7">
      <w:pPr>
        <w:numPr>
          <w:ilvl w:val="1"/>
          <w:numId w:val="5"/>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3D682F">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64AF6ED0" w:rsidR="00C24C30" w:rsidRDefault="00C24C30" w:rsidP="006A04C7">
      <w:pPr>
        <w:numPr>
          <w:ilvl w:val="1"/>
          <w:numId w:val="6"/>
        </w:numPr>
        <w:tabs>
          <w:tab w:val="right" w:pos="5670"/>
        </w:tabs>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3D682F">
        <w:rPr>
          <w:rFonts w:eastAsia="Times New Roman" w:cs="Times New Roman"/>
          <w:lang w:eastAsia="cs-CZ"/>
        </w:rPr>
        <w:t xml:space="preserve">  </w:t>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6A04C7">
      <w:pPr>
        <w:tabs>
          <w:tab w:val="right" w:pos="5670"/>
        </w:tabs>
        <w:overflowPunct w:val="0"/>
        <w:autoSpaceDE w:val="0"/>
        <w:autoSpaceDN w:val="0"/>
        <w:adjustRightInd w:val="0"/>
        <w:spacing w:after="120" w:line="240" w:lineRule="auto"/>
        <w:ind w:left="709"/>
        <w:jc w:val="both"/>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6A04C7">
      <w:pPr>
        <w:tabs>
          <w:tab w:val="right" w:pos="5670"/>
        </w:tabs>
        <w:overflowPunct w:val="0"/>
        <w:autoSpaceDE w:val="0"/>
        <w:autoSpaceDN w:val="0"/>
        <w:adjustRightInd w:val="0"/>
        <w:spacing w:after="120" w:line="240" w:lineRule="auto"/>
        <w:ind w:left="709"/>
        <w:jc w:val="both"/>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6A04C7">
      <w:pPr>
        <w:numPr>
          <w:ilvl w:val="1"/>
          <w:numId w:val="6"/>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3D682F" w:rsidRDefault="00272F27" w:rsidP="006A04C7">
      <w:pPr>
        <w:numPr>
          <w:ilvl w:val="1"/>
          <w:numId w:val="6"/>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3D682F">
        <w:rPr>
          <w:rFonts w:eastAsia="Times New Roman" w:cs="Times New Roman"/>
          <w:lang w:eastAsia="cs-CZ"/>
        </w:rPr>
        <w:t>doručený v listinné podobě.</w:t>
      </w:r>
    </w:p>
    <w:p w14:paraId="2DB3D38A" w14:textId="7BFA6CD4" w:rsidR="00272F27" w:rsidRDefault="00272F27" w:rsidP="006A04C7">
      <w:pPr>
        <w:numPr>
          <w:ilvl w:val="1"/>
          <w:numId w:val="6"/>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3D682F">
        <w:rPr>
          <w:rFonts w:eastAsia="Times New Roman" w:cs="Times New Roman"/>
          <w:lang w:eastAsia="cs-CZ"/>
        </w:rPr>
        <w:t xml:space="preserve">Splatnost </w:t>
      </w:r>
      <w:r w:rsidR="0049794E" w:rsidRPr="003D682F">
        <w:rPr>
          <w:rFonts w:eastAsia="Times New Roman" w:cs="Times New Roman"/>
          <w:lang w:eastAsia="cs-CZ"/>
        </w:rPr>
        <w:t>daňového dokladu (</w:t>
      </w:r>
      <w:r w:rsidRPr="003D682F">
        <w:rPr>
          <w:rFonts w:eastAsia="Times New Roman" w:cs="Times New Roman"/>
          <w:lang w:eastAsia="cs-CZ"/>
        </w:rPr>
        <w:t>faktury</w:t>
      </w:r>
      <w:r w:rsidR="0049794E" w:rsidRPr="003D682F">
        <w:rPr>
          <w:rFonts w:eastAsia="Times New Roman" w:cs="Times New Roman"/>
          <w:lang w:eastAsia="cs-CZ"/>
        </w:rPr>
        <w:t>)</w:t>
      </w:r>
      <w:r w:rsidRPr="003D682F">
        <w:rPr>
          <w:rFonts w:eastAsia="Times New Roman" w:cs="Times New Roman"/>
          <w:lang w:eastAsia="cs-CZ"/>
        </w:rPr>
        <w:t xml:space="preserve"> se sjednává na 30 kalendářních dnů od jejího písemného doručení Kupujícímu. V případě, že faktura nebude mít odpovídající náležitosti účetního nebo daňového dokladu, je Kupující</w:t>
      </w:r>
      <w:r w:rsidRPr="00272F27">
        <w:rPr>
          <w:rFonts w:eastAsia="Times New Roman" w:cs="Times New Roman"/>
          <w:lang w:eastAsia="cs-CZ"/>
        </w:rPr>
        <w:t xml:space="preserve">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5B4BA7D3" w14:textId="5B294621" w:rsidR="00DE6757" w:rsidRDefault="00AE2970" w:rsidP="006A04C7">
      <w:pPr>
        <w:numPr>
          <w:ilvl w:val="1"/>
          <w:numId w:val="7"/>
        </w:numPr>
        <w:overflowPunct w:val="0"/>
        <w:autoSpaceDE w:val="0"/>
        <w:autoSpaceDN w:val="0"/>
        <w:adjustRightInd w:val="0"/>
        <w:spacing w:after="120" w:line="240" w:lineRule="auto"/>
        <w:ind w:left="709" w:hanging="709"/>
        <w:jc w:val="both"/>
        <w:textAlignment w:val="baseline"/>
      </w:pPr>
      <w:r>
        <w:rPr>
          <w:rFonts w:eastAsia="Times New Roman" w:cs="Times New Roman"/>
          <w:lang w:eastAsia="cs-CZ"/>
        </w:rPr>
        <w:t xml:space="preserve">Místo dodání je </w:t>
      </w:r>
      <w:r w:rsidR="00DE6757">
        <w:rPr>
          <w:rFonts w:eastAsia="Times New Roman" w:cs="Times New Roman"/>
          <w:lang w:eastAsia="cs-CZ"/>
        </w:rPr>
        <w:t>ŽST Bezdružice.</w:t>
      </w:r>
      <w:r w:rsidR="00DE6757" w:rsidRPr="00DE6757">
        <w:t xml:space="preserve"> </w:t>
      </w:r>
      <w:r w:rsidR="00DE6757">
        <w:t>Zadavatel zajišťuje složení pražců v místě dodání. Zadavatel zároveň žádá sdělení termínu (den a hodina) kontaktnímu pracovníkovi zadavatele – panu Josefu Krejčímu tel. 602 643 462 dva pracovní dny před termínem dodání z důvodu zajištění prostředku (jeřábu) pro složení pražců v místě dodání (ŽST Bezdružice).</w:t>
      </w:r>
    </w:p>
    <w:p w14:paraId="5115D35D" w14:textId="62A61B79" w:rsidR="00D85C5B" w:rsidRDefault="00D85C5B" w:rsidP="006A04C7">
      <w:pPr>
        <w:numPr>
          <w:ilvl w:val="1"/>
          <w:numId w:val="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00DE6757">
        <w:t xml:space="preserve">v pracovních dnech </w:t>
      </w:r>
      <w:r w:rsidR="004D293A">
        <w:t xml:space="preserve">od </w:t>
      </w:r>
      <w:r w:rsidR="00DE6757">
        <w:t>29.</w:t>
      </w:r>
      <w:r w:rsidR="004D293A">
        <w:t xml:space="preserve"> </w:t>
      </w:r>
      <w:r w:rsidR="00DE6757">
        <w:t>září</w:t>
      </w:r>
      <w:r w:rsidR="004D293A">
        <w:t xml:space="preserve"> do </w:t>
      </w:r>
      <w:r w:rsidR="00DE6757">
        <w:t>3. října 2022.</w:t>
      </w:r>
    </w:p>
    <w:p w14:paraId="27C9234E" w14:textId="39C75A8E" w:rsidR="00AE2970" w:rsidRPr="00BF026F" w:rsidRDefault="00B50ED7" w:rsidP="006A04C7">
      <w:pPr>
        <w:numPr>
          <w:ilvl w:val="1"/>
          <w:numId w:val="7"/>
        </w:numPr>
        <w:overflowPunct w:val="0"/>
        <w:autoSpaceDE w:val="0"/>
        <w:autoSpaceDN w:val="0"/>
        <w:adjustRightInd w:val="0"/>
        <w:spacing w:after="0" w:line="240" w:lineRule="auto"/>
        <w:ind w:left="709" w:hanging="709"/>
        <w:jc w:val="both"/>
        <w:textAlignment w:val="baseline"/>
        <w:rPr>
          <w:rFonts w:eastAsia="Times New Roman" w:cs="Times New Roman"/>
          <w:lang w:eastAsia="cs-CZ"/>
        </w:rPr>
      </w:pPr>
      <w:r w:rsidRPr="00B50ED7">
        <w:rPr>
          <w:rFonts w:eastAsia="Times New Roman" w:cs="Times New Roman"/>
          <w:lang w:eastAsia="cs-CZ"/>
        </w:rPr>
        <w:t xml:space="preserve">O předání bude </w:t>
      </w:r>
      <w:r w:rsidRPr="00DE6757">
        <w:rPr>
          <w:rFonts w:eastAsia="Times New Roman" w:cs="Times New Roman"/>
          <w:lang w:eastAsia="cs-CZ"/>
        </w:rPr>
        <w:t xml:space="preserve">vyhotoven dodací list </w:t>
      </w:r>
      <w:r w:rsidR="00AE2970" w:rsidRPr="00DE6757">
        <w:rPr>
          <w:rFonts w:eastAsia="Times New Roman" w:cs="Times New Roman"/>
          <w:lang w:eastAsia="cs-CZ"/>
        </w:rPr>
        <w:t>podepsan</w:t>
      </w:r>
      <w:r w:rsidRPr="00DE675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4D293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6A04C7">
      <w:pPr>
        <w:overflowPunct w:val="0"/>
        <w:autoSpaceDE w:val="0"/>
        <w:autoSpaceDN w:val="0"/>
        <w:adjustRightInd w:val="0"/>
        <w:spacing w:before="60" w:after="0" w:line="240" w:lineRule="auto"/>
        <w:ind w:left="709"/>
        <w:jc w:val="both"/>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4A6504B6" w:rsidR="00BB200E" w:rsidRDefault="00BB200E" w:rsidP="006A04C7">
      <w:pPr>
        <w:overflowPunct w:val="0"/>
        <w:autoSpaceDE w:val="0"/>
        <w:autoSpaceDN w:val="0"/>
        <w:adjustRightInd w:val="0"/>
        <w:spacing w:before="60" w:after="0" w:line="240" w:lineRule="auto"/>
        <w:ind w:left="709"/>
        <w:jc w:val="both"/>
        <w:textAlignment w:val="baseline"/>
        <w:rPr>
          <w:rFonts w:eastAsia="Times New Roman" w:cs="Times New Roman"/>
          <w:lang w:eastAsia="cs-CZ"/>
        </w:rPr>
      </w:pPr>
      <w:r w:rsidRPr="00BF026F">
        <w:rPr>
          <w:rFonts w:eastAsia="Times New Roman" w:cs="Times New Roman"/>
          <w:lang w:eastAsia="cs-CZ"/>
        </w:rPr>
        <w:t xml:space="preserve">za Kupujícího: </w:t>
      </w:r>
      <w:r w:rsidR="00DE6757">
        <w:t xml:space="preserve">Josef Krejčí, tel. 602 643 462, </w:t>
      </w:r>
      <w:r w:rsidRPr="00DE6757">
        <w:rPr>
          <w:rFonts w:eastAsia="Times New Roman" w:cs="Times New Roman"/>
          <w:lang w:eastAsia="cs-CZ"/>
        </w:rPr>
        <w:t>e-mail.</w:t>
      </w:r>
      <w:r w:rsidR="00DE6757" w:rsidRPr="00DE6757">
        <w:rPr>
          <w:rFonts w:eastAsia="Times New Roman" w:cs="Times New Roman"/>
          <w:lang w:eastAsia="cs-CZ"/>
        </w:rPr>
        <w:t xml:space="preserve"> KrejciJo</w:t>
      </w:r>
      <w:r w:rsidR="00DE6757">
        <w:rPr>
          <w:rFonts w:eastAsia="Times New Roman" w:cs="Times New Roman"/>
          <w:lang w:eastAsia="cs-CZ"/>
        </w:rPr>
        <w:t>@spravazeleznic.cz</w:t>
      </w:r>
    </w:p>
    <w:p w14:paraId="61F17E57" w14:textId="3A480D2A" w:rsidR="00BF026F" w:rsidRPr="004113AF" w:rsidRDefault="00BF026F" w:rsidP="006A04C7">
      <w:pPr>
        <w:numPr>
          <w:ilvl w:val="1"/>
          <w:numId w:val="7"/>
        </w:numPr>
        <w:overflowPunct w:val="0"/>
        <w:autoSpaceDE w:val="0"/>
        <w:autoSpaceDN w:val="0"/>
        <w:adjustRightInd w:val="0"/>
        <w:spacing w:before="120" w:after="0" w:line="240" w:lineRule="auto"/>
        <w:ind w:left="709" w:hanging="709"/>
        <w:jc w:val="both"/>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w:t>
      </w:r>
      <w:r w:rsidRPr="00DE6757">
        <w:rPr>
          <w:rFonts w:ascii="Verdana" w:hAnsi="Verdana" w:cstheme="minorHAnsi"/>
        </w:rPr>
        <w:t>převzetí předmětu koupě probíhá v rámci předávacího řízení potvrzením dodacího listu ze strany Kupujícího</w:t>
      </w:r>
      <w:r>
        <w:rPr>
          <w:rFonts w:ascii="Verdana" w:hAnsi="Verdana" w:cstheme="minorHAnsi"/>
        </w:rPr>
        <w:t xml:space="preserve"> a Prodávajícího.</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4511DD76" w:rsidR="00D85C5B" w:rsidRPr="0015084F" w:rsidRDefault="00FA515B" w:rsidP="00FA515B">
      <w:p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 xml:space="preserve">4.1. </w:t>
      </w:r>
      <w:r w:rsidR="00D85C5B" w:rsidRPr="0015084F">
        <w:rPr>
          <w:rFonts w:eastAsia="Times New Roman" w:cs="Times New Roman"/>
          <w:lang w:eastAsia="cs-CZ"/>
        </w:rPr>
        <w:t>Prodávající předá Kupujícímu následující listiny vztahující se k předmětu koupě:</w:t>
      </w:r>
    </w:p>
    <w:p w14:paraId="375B7E39" w14:textId="1E6BDF31" w:rsidR="00D85C5B" w:rsidRDefault="00FA515B" w:rsidP="00FA515B">
      <w:pPr>
        <w:overflowPunct w:val="0"/>
        <w:autoSpaceDE w:val="0"/>
        <w:autoSpaceDN w:val="0"/>
        <w:adjustRightInd w:val="0"/>
        <w:spacing w:after="120" w:line="240" w:lineRule="auto"/>
        <w:ind w:firstLine="360"/>
        <w:textAlignment w:val="baseline"/>
        <w:rPr>
          <w:rFonts w:eastAsia="Times New Roman" w:cs="Times New Roman"/>
          <w:lang w:eastAsia="cs-CZ"/>
        </w:rPr>
      </w:pPr>
      <w:r w:rsidRPr="00FA515B">
        <w:rPr>
          <w:rFonts w:eastAsia="Times New Roman" w:cs="Times New Roman"/>
          <w:lang w:eastAsia="cs-CZ"/>
        </w:rPr>
        <w:t>dodací list</w:t>
      </w:r>
    </w:p>
    <w:p w14:paraId="2B5E16F8" w14:textId="0630A295" w:rsidR="004D293A" w:rsidRDefault="004D293A" w:rsidP="00FA515B">
      <w:pPr>
        <w:overflowPunct w:val="0"/>
        <w:autoSpaceDE w:val="0"/>
        <w:autoSpaceDN w:val="0"/>
        <w:adjustRightInd w:val="0"/>
        <w:spacing w:after="120" w:line="240" w:lineRule="auto"/>
        <w:ind w:firstLine="360"/>
        <w:textAlignment w:val="baseline"/>
        <w:rPr>
          <w:rFonts w:eastAsia="Times New Roman" w:cs="Times New Roman"/>
          <w:lang w:eastAsia="cs-CZ"/>
        </w:rPr>
      </w:pPr>
    </w:p>
    <w:p w14:paraId="12D9DC83" w14:textId="2A02D73D" w:rsidR="004D293A" w:rsidRDefault="004D293A" w:rsidP="00FA515B">
      <w:pPr>
        <w:overflowPunct w:val="0"/>
        <w:autoSpaceDE w:val="0"/>
        <w:autoSpaceDN w:val="0"/>
        <w:adjustRightInd w:val="0"/>
        <w:spacing w:after="120" w:line="240" w:lineRule="auto"/>
        <w:ind w:firstLine="360"/>
        <w:textAlignment w:val="baseline"/>
        <w:rPr>
          <w:rFonts w:eastAsia="Times New Roman" w:cs="Times New Roman"/>
          <w:lang w:eastAsia="cs-CZ"/>
        </w:rPr>
      </w:pPr>
    </w:p>
    <w:p w14:paraId="4B70C07C" w14:textId="73FFBFFF" w:rsidR="00D85C5B" w:rsidRDefault="00D85C5B" w:rsidP="000E4F4B">
      <w:pPr>
        <w:pStyle w:val="Nadpis1"/>
        <w:rPr>
          <w:rFonts w:eastAsia="Times New Roman"/>
          <w:lang w:eastAsia="cs-CZ"/>
        </w:rPr>
      </w:pPr>
      <w:r w:rsidRPr="000C5DA0">
        <w:rPr>
          <w:rFonts w:eastAsia="Times New Roman"/>
          <w:lang w:eastAsia="cs-CZ"/>
        </w:rPr>
        <w:lastRenderedPageBreak/>
        <w:t>Záruka</w:t>
      </w:r>
    </w:p>
    <w:p w14:paraId="7A80A8FE" w14:textId="66EF851F" w:rsidR="003D682F" w:rsidRDefault="003D682F" w:rsidP="00FA515B">
      <w:pPr>
        <w:pStyle w:val="Odstavecseseznamem"/>
        <w:numPr>
          <w:ilvl w:val="1"/>
          <w:numId w:val="5"/>
        </w:numPr>
        <w:autoSpaceDE w:val="0"/>
        <w:autoSpaceDN w:val="0"/>
        <w:adjustRightInd w:val="0"/>
        <w:spacing w:after="120" w:line="240" w:lineRule="auto"/>
        <w:ind w:left="567" w:hanging="567"/>
        <w:jc w:val="both"/>
      </w:pPr>
      <w:r w:rsidRPr="00FA515B">
        <w:rPr>
          <w:rFonts w:ascii="Verdana" w:hAnsi="Verdana" w:cs="Verdana"/>
        </w:rPr>
        <w:t xml:space="preserve">Záruční doba za kvalitu předmětu dílčích veřejných zakázek se řídí platnými TPD </w:t>
      </w:r>
      <w:r w:rsidR="004D293A">
        <w:rPr>
          <w:rFonts w:ascii="Verdana" w:hAnsi="Verdana" w:cs="Verdana"/>
        </w:rPr>
        <w:t>(</w:t>
      </w:r>
      <w:r w:rsidRPr="00FA515B">
        <w:rPr>
          <w:rFonts w:ascii="Verdana" w:hAnsi="Verdana" w:cs="Verdana"/>
        </w:rPr>
        <w:t>případně Souhlasem Odboru traťového hospodářství), které mají přednost před zákonem č. 89/2012 Sb., občanský zákoník, ve znění pozdějších předpisů.</w:t>
      </w:r>
    </w:p>
    <w:p w14:paraId="2A59B1E9" w14:textId="77777777" w:rsidR="00BA191F" w:rsidRPr="00BA191F" w:rsidRDefault="00BA191F" w:rsidP="006A04C7">
      <w:pPr>
        <w:pStyle w:val="Nadpis1"/>
        <w:jc w:val="both"/>
        <w:rPr>
          <w:rFonts w:eastAsia="Times New Roman"/>
          <w:lang w:eastAsia="cs-CZ"/>
        </w:rPr>
      </w:pPr>
      <w:r w:rsidRPr="00BA191F">
        <w:rPr>
          <w:rFonts w:eastAsia="Times New Roman"/>
          <w:lang w:eastAsia="cs-CZ"/>
        </w:rPr>
        <w:t>Střet zájmů, povinnosti Zhotovitele v souvislosti s konfliktem na Ukrajině</w:t>
      </w:r>
    </w:p>
    <w:p w14:paraId="61802753" w14:textId="79B47AAF" w:rsid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6A04C7">
        <w:rPr>
          <w:rFonts w:ascii="Verdana" w:hAnsi="Verdana" w:cs="Verdana"/>
        </w:rPr>
        <w:t>Zhotovitel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BD378BF" w14:textId="77777777" w:rsidR="006A04C7" w:rsidRDefault="006A04C7" w:rsidP="006A04C7">
      <w:pPr>
        <w:pStyle w:val="Odstavecseseznamem"/>
        <w:autoSpaceDE w:val="0"/>
        <w:autoSpaceDN w:val="0"/>
        <w:adjustRightInd w:val="0"/>
        <w:spacing w:after="120" w:line="240" w:lineRule="auto"/>
        <w:ind w:left="567" w:hanging="567"/>
        <w:jc w:val="both"/>
        <w:rPr>
          <w:rFonts w:ascii="Verdana" w:hAnsi="Verdana" w:cs="Verdana"/>
        </w:rPr>
      </w:pPr>
    </w:p>
    <w:p w14:paraId="75A6CCF4" w14:textId="0429A0DD" w:rsidR="006A04C7"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6A04C7">
        <w:rPr>
          <w:rFonts w:ascii="Verdana" w:hAnsi="Verdana" w:cs="Verdana"/>
        </w:rPr>
        <w:t>Zhotovitel prohlašuje, že on, ani žádný z jeho poddodavatelů nebo jiných osob, jejichž způsobilost byla využita ve smyslu evropských směrnic o zadávání veřejných zakázek, nejsou osobami:</w:t>
      </w:r>
      <w:r w:rsidR="006A04C7" w:rsidRPr="006A04C7">
        <w:rPr>
          <w:rFonts w:ascii="Verdana" w:hAnsi="Verdana" w:cs="Verdana"/>
        </w:rPr>
        <w:t xml:space="preserve"> </w:t>
      </w:r>
      <w:r w:rsidRPr="006A04C7">
        <w:rPr>
          <w:rFonts w:ascii="Verdana" w:hAnsi="Verdana" w:cs="Verdana"/>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dle článku 2 nařízení Rady (EU) č. 269/2014 ze dne 17. března 2014, o omezujících opatřeních vzhledem k činnostem narušujícím nebo ohrožujícím územní celistvost, svrchovanost a nezávislost Ukrajiny, ve znění pozdějších předpisů, a dalších</w:t>
      </w:r>
      <w:r w:rsidRPr="0029677D">
        <w:t xml:space="preserve"> prováděcích předpisů k tomuto nařízení Rady (EU) č. 269/2014 (dále jen „</w:t>
      </w:r>
      <w:r w:rsidRPr="006A04C7">
        <w:rPr>
          <w:b/>
        </w:rPr>
        <w:t>Sankční seznamy“</w:t>
      </w:r>
      <w:r w:rsidRPr="0029677D">
        <w:t>).</w:t>
      </w:r>
    </w:p>
    <w:p w14:paraId="4C0CF92E" w14:textId="77777777" w:rsidR="006A04C7" w:rsidRPr="006A04C7" w:rsidRDefault="006A04C7" w:rsidP="006A04C7">
      <w:pPr>
        <w:pStyle w:val="Odstavecseseznamem"/>
        <w:autoSpaceDE w:val="0"/>
        <w:autoSpaceDN w:val="0"/>
        <w:adjustRightInd w:val="0"/>
        <w:spacing w:after="120" w:line="240" w:lineRule="auto"/>
        <w:ind w:left="567" w:hanging="567"/>
        <w:jc w:val="both"/>
        <w:rPr>
          <w:rFonts w:ascii="Verdana" w:hAnsi="Verdana" w:cs="Verdana"/>
        </w:rPr>
      </w:pPr>
    </w:p>
    <w:p w14:paraId="1A8D4561" w14:textId="77777777" w:rsidR="006A04C7"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30939B8" w14:textId="77777777" w:rsidR="006A04C7" w:rsidRDefault="006A04C7" w:rsidP="006A04C7">
      <w:pPr>
        <w:pStyle w:val="Odstavecseseznamem"/>
        <w:ind w:left="567" w:hanging="567"/>
      </w:pPr>
    </w:p>
    <w:p w14:paraId="10739744" w14:textId="77777777" w:rsidR="006A04C7"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2B2FA6E" w14:textId="77777777" w:rsidR="006A04C7" w:rsidRDefault="006A04C7" w:rsidP="006A04C7">
      <w:pPr>
        <w:pStyle w:val="Odstavecseseznamem"/>
      </w:pPr>
    </w:p>
    <w:p w14:paraId="0C68CD0A" w14:textId="77777777" w:rsidR="006A04C7"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58ECFD" w14:textId="77777777" w:rsidR="006A04C7" w:rsidRDefault="006A04C7" w:rsidP="006A04C7">
      <w:pPr>
        <w:pStyle w:val="Odstavecseseznamem"/>
        <w:ind w:left="567" w:hanging="567"/>
      </w:pPr>
    </w:p>
    <w:p w14:paraId="356769F3" w14:textId="77777777" w:rsidR="006A04C7"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13476CD" w14:textId="77777777" w:rsidR="006A04C7" w:rsidRDefault="006A04C7" w:rsidP="006A04C7">
      <w:pPr>
        <w:pStyle w:val="Odstavecseseznamem"/>
        <w:ind w:left="567" w:hanging="567"/>
      </w:pPr>
    </w:p>
    <w:p w14:paraId="60724D1C" w14:textId="713FBDF6" w:rsidR="00BA191F" w:rsidRPr="006A04C7" w:rsidRDefault="00BA191F" w:rsidP="006A04C7">
      <w:pPr>
        <w:pStyle w:val="Odstavecseseznamem"/>
        <w:numPr>
          <w:ilvl w:val="1"/>
          <w:numId w:val="5"/>
        </w:numPr>
        <w:autoSpaceDE w:val="0"/>
        <w:autoSpaceDN w:val="0"/>
        <w:adjustRightInd w:val="0"/>
        <w:spacing w:after="120" w:line="240" w:lineRule="auto"/>
        <w:ind w:left="567" w:hanging="567"/>
        <w:jc w:val="both"/>
        <w:rPr>
          <w:rFonts w:ascii="Verdana" w:hAnsi="Verdana" w:cs="Verdana"/>
        </w:rPr>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w:t>
      </w:r>
      <w:r w:rsidRPr="003D682F">
        <w:t xml:space="preserve">dále povinen zaplatit za každé jednotlivé porušení povinností dle předchozí věty smluvní pokutu ve výši 5 % procent z Ceny Díla bez DPH sjednané dle </w:t>
      </w:r>
      <w:r w:rsidRPr="003D682F">
        <w:lastRenderedPageBreak/>
        <w:t>této Smlouvy. Ustanovení § 2004 odst. 2 Občanského</w:t>
      </w:r>
      <w:r w:rsidRPr="0029677D">
        <w:t xml:space="preserve"> zákoníku a § 2050 Občanského zákoníku se nepoužijí.</w:t>
      </w:r>
    </w:p>
    <w:p w14:paraId="6D0F7695" w14:textId="77777777" w:rsidR="00885E3E" w:rsidRPr="000C5DA0" w:rsidRDefault="00885E3E" w:rsidP="00885E3E">
      <w:pPr>
        <w:pStyle w:val="Nadpis1"/>
        <w:rPr>
          <w:rFonts w:eastAsia="Times New Roman"/>
          <w:lang w:eastAsia="cs-CZ"/>
        </w:rPr>
      </w:pPr>
      <w:r w:rsidRPr="000C5DA0">
        <w:rPr>
          <w:rFonts w:eastAsia="Times New Roman"/>
          <w:lang w:eastAsia="cs-CZ"/>
        </w:rPr>
        <w:t>Další ujednání</w:t>
      </w:r>
    </w:p>
    <w:p w14:paraId="66F7C2AE" w14:textId="70EFFB42" w:rsidR="006A04C7" w:rsidRDefault="00885E3E" w:rsidP="006A04C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6A04C7">
        <w:rPr>
          <w:rFonts w:eastAsia="Times New Roman" w:cs="Times New Roman"/>
          <w:lang w:eastAsia="cs-CZ"/>
        </w:rPr>
        <w:t>Prodávající ujišťuje Kupujícího, že Předmět koupě je prostý všech vad, jak právních, tak faktických.</w:t>
      </w:r>
    </w:p>
    <w:p w14:paraId="418706BE" w14:textId="77777777" w:rsidR="006A04C7" w:rsidRDefault="006A04C7" w:rsidP="006A04C7">
      <w:pPr>
        <w:pStyle w:val="Odstavecseseznamem"/>
        <w:overflowPunct w:val="0"/>
        <w:autoSpaceDE w:val="0"/>
        <w:autoSpaceDN w:val="0"/>
        <w:adjustRightInd w:val="0"/>
        <w:spacing w:after="120" w:line="240" w:lineRule="auto"/>
        <w:ind w:left="567"/>
        <w:jc w:val="both"/>
        <w:textAlignment w:val="baseline"/>
        <w:rPr>
          <w:rFonts w:eastAsia="Times New Roman" w:cs="Times New Roman"/>
          <w:lang w:eastAsia="cs-CZ"/>
        </w:rPr>
      </w:pPr>
    </w:p>
    <w:p w14:paraId="08832BCD" w14:textId="5145784D" w:rsidR="003E7747" w:rsidRDefault="00885E3E" w:rsidP="003E774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6A04C7">
        <w:rPr>
          <w:rFonts w:eastAsia="Calibri" w:cs="Times New Roman"/>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3E7747">
        <w:rPr>
          <w:rFonts w:eastAsia="Times New Roman" w:cs="Times New Roman"/>
          <w:lang w:eastAsia="cs-CZ"/>
        </w:rPr>
        <w:t>předmětu Smlouvy, jeho ceně či hodnotě a datu uzavření této Smlouvy.</w:t>
      </w:r>
    </w:p>
    <w:p w14:paraId="52024F7E" w14:textId="77777777" w:rsidR="003E7747" w:rsidRPr="003E7747" w:rsidRDefault="003E7747" w:rsidP="003E7747">
      <w:pPr>
        <w:pStyle w:val="Odstavecseseznamem"/>
        <w:rPr>
          <w:rFonts w:eastAsia="Times New Roman" w:cs="Times New Roman"/>
          <w:lang w:eastAsia="cs-CZ"/>
        </w:rPr>
      </w:pPr>
    </w:p>
    <w:p w14:paraId="1017D16F" w14:textId="5166666E" w:rsidR="006A04C7" w:rsidRPr="003E7747" w:rsidRDefault="00885E3E" w:rsidP="003E774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3E7747">
        <w:rPr>
          <w:rFonts w:eastAsia="Times New Roman" w:cs="Times New Roman"/>
          <w:lang w:eastAsia="cs-CZ"/>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0746CF1" w14:textId="77777777" w:rsidR="003E7747" w:rsidRPr="006A04C7" w:rsidRDefault="003E7747" w:rsidP="003E7747">
      <w:pPr>
        <w:pStyle w:val="Odstavecseseznamem"/>
        <w:overflowPunct w:val="0"/>
        <w:autoSpaceDE w:val="0"/>
        <w:autoSpaceDN w:val="0"/>
        <w:adjustRightInd w:val="0"/>
        <w:spacing w:after="120" w:line="240" w:lineRule="auto"/>
        <w:ind w:left="567"/>
        <w:jc w:val="both"/>
        <w:textAlignment w:val="baseline"/>
        <w:rPr>
          <w:rFonts w:eastAsia="Times New Roman" w:cs="Times New Roman"/>
          <w:lang w:eastAsia="cs-CZ"/>
        </w:rPr>
      </w:pPr>
    </w:p>
    <w:p w14:paraId="7D3F7D19" w14:textId="1C3F67FF" w:rsidR="006A04C7" w:rsidRPr="003E7747" w:rsidRDefault="00885E3E" w:rsidP="006A04C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3E7747">
        <w:rPr>
          <w:rFonts w:eastAsia="Times New Roman" w:cs="Times New Roman"/>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7855A95" w14:textId="77777777" w:rsidR="003E7747" w:rsidRPr="003E7747" w:rsidRDefault="003E7747" w:rsidP="003E7747">
      <w:pPr>
        <w:pStyle w:val="Odstavecseseznamem"/>
        <w:overflowPunct w:val="0"/>
        <w:autoSpaceDE w:val="0"/>
        <w:autoSpaceDN w:val="0"/>
        <w:adjustRightInd w:val="0"/>
        <w:spacing w:after="120" w:line="240" w:lineRule="auto"/>
        <w:ind w:left="567"/>
        <w:jc w:val="both"/>
        <w:textAlignment w:val="baseline"/>
        <w:rPr>
          <w:rFonts w:eastAsia="Times New Roman" w:cs="Times New Roman"/>
          <w:lang w:eastAsia="cs-CZ"/>
        </w:rPr>
      </w:pPr>
    </w:p>
    <w:p w14:paraId="68ACF197" w14:textId="591BC7C4" w:rsidR="006A04C7" w:rsidRPr="003E7747" w:rsidRDefault="00885E3E" w:rsidP="006A04C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6A04C7">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19CB9BB9" w14:textId="77777777" w:rsidR="003E7747" w:rsidRPr="006A04C7" w:rsidRDefault="003E7747" w:rsidP="003E7747">
      <w:pPr>
        <w:pStyle w:val="Odstavecseseznamem"/>
        <w:overflowPunct w:val="0"/>
        <w:autoSpaceDE w:val="0"/>
        <w:autoSpaceDN w:val="0"/>
        <w:adjustRightInd w:val="0"/>
        <w:spacing w:after="120" w:line="240" w:lineRule="auto"/>
        <w:ind w:left="567"/>
        <w:jc w:val="both"/>
        <w:textAlignment w:val="baseline"/>
        <w:rPr>
          <w:rFonts w:eastAsia="Times New Roman" w:cs="Times New Roman"/>
          <w:lang w:eastAsia="cs-CZ"/>
        </w:rPr>
      </w:pPr>
    </w:p>
    <w:p w14:paraId="4A45673F" w14:textId="1903F898" w:rsidR="003E7747" w:rsidRPr="003E7747" w:rsidRDefault="00885E3E" w:rsidP="003E774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6A04C7">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4E0CB415" w14:textId="77777777" w:rsidR="003E7747" w:rsidRPr="003E7747" w:rsidRDefault="003E7747" w:rsidP="003E7747">
      <w:pPr>
        <w:pStyle w:val="Odstavecseseznamem"/>
        <w:rPr>
          <w:rFonts w:eastAsia="Times New Roman" w:cs="Times New Roman"/>
          <w:lang w:eastAsia="cs-CZ"/>
        </w:rPr>
      </w:pPr>
    </w:p>
    <w:p w14:paraId="603C1639" w14:textId="6FDC5E5E" w:rsidR="00885E3E" w:rsidRPr="006A04C7" w:rsidRDefault="00885E3E" w:rsidP="006A04C7">
      <w:pPr>
        <w:pStyle w:val="Odstavecseseznamem"/>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7BE56892" w:rsidR="00D85C5B" w:rsidRPr="000C5DA0" w:rsidRDefault="00D85C5B" w:rsidP="00850CBB">
      <w:pPr>
        <w:pStyle w:val="Nadpis1"/>
        <w:numPr>
          <w:ilvl w:val="0"/>
          <w:numId w:val="18"/>
        </w:numPr>
        <w:rPr>
          <w:rFonts w:eastAsia="Times New Roman"/>
          <w:lang w:eastAsia="cs-CZ"/>
        </w:rPr>
      </w:pPr>
      <w:r w:rsidRPr="000C5DA0">
        <w:rPr>
          <w:rFonts w:eastAsia="Times New Roman"/>
          <w:lang w:eastAsia="cs-CZ"/>
        </w:rPr>
        <w:t>Závěrečná ujednání</w:t>
      </w:r>
    </w:p>
    <w:p w14:paraId="42E50961" w14:textId="2F050A0F" w:rsidR="00850CBB" w:rsidRPr="00397356" w:rsidRDefault="00065284" w:rsidP="00397356">
      <w:pPr>
        <w:pStyle w:val="Odstavecseseznamem"/>
        <w:numPr>
          <w:ilvl w:val="1"/>
          <w:numId w:val="18"/>
        </w:numPr>
        <w:overflowPunct w:val="0"/>
        <w:autoSpaceDE w:val="0"/>
        <w:autoSpaceDN w:val="0"/>
        <w:adjustRightInd w:val="0"/>
        <w:spacing w:after="120" w:line="276" w:lineRule="auto"/>
        <w:ind w:left="567" w:hanging="567"/>
        <w:textAlignment w:val="baseline"/>
        <w:rPr>
          <w:rFonts w:eastAsia="Times New Roman" w:cs="Times New Roman"/>
          <w:lang w:eastAsia="cs-CZ"/>
        </w:rPr>
      </w:pPr>
      <w:r w:rsidRPr="00397356">
        <w:rPr>
          <w:rFonts w:eastAsia="Times New Roman" w:cs="Times New Roman"/>
          <w:lang w:eastAsia="cs-CZ"/>
        </w:rPr>
        <w:t xml:space="preserve">Tato </w:t>
      </w:r>
      <w:r w:rsidR="008B1447" w:rsidRPr="00397356">
        <w:rPr>
          <w:rFonts w:eastAsia="Times New Roman" w:cs="Times New Roman"/>
          <w:lang w:eastAsia="cs-CZ"/>
        </w:rPr>
        <w:t>Sml</w:t>
      </w:r>
      <w:r w:rsidRPr="00397356">
        <w:rPr>
          <w:rFonts w:eastAsia="Times New Roman" w:cs="Times New Roman"/>
          <w:lang w:eastAsia="cs-CZ"/>
        </w:rPr>
        <w:t>ouva</w:t>
      </w:r>
      <w:r w:rsidR="00D85C5B" w:rsidRPr="00397356">
        <w:rPr>
          <w:rFonts w:eastAsia="Times New Roman" w:cs="Times New Roman"/>
          <w:lang w:eastAsia="cs-CZ"/>
        </w:rPr>
        <w:t xml:space="preserve"> se </w:t>
      </w:r>
      <w:r w:rsidR="00FB5045" w:rsidRPr="00397356">
        <w:rPr>
          <w:rFonts w:eastAsia="Times New Roman" w:cs="Times New Roman"/>
          <w:lang w:eastAsia="cs-CZ"/>
        </w:rPr>
        <w:t>řídí Obchodními podmínkami k této S</w:t>
      </w:r>
      <w:r w:rsidR="008B1447" w:rsidRPr="00397356">
        <w:rPr>
          <w:rFonts w:eastAsia="Times New Roman" w:cs="Times New Roman"/>
          <w:lang w:eastAsia="cs-CZ"/>
        </w:rPr>
        <w:t>ml</w:t>
      </w:r>
      <w:r w:rsidR="00D85C5B" w:rsidRPr="00397356">
        <w:rPr>
          <w:rFonts w:eastAsia="Times New Roman" w:cs="Times New Roman"/>
          <w:lang w:eastAsia="cs-CZ"/>
        </w:rPr>
        <w:t>ouvě (dále jen „Obchodní p</w:t>
      </w:r>
      <w:r w:rsidR="00FB5045" w:rsidRPr="00397356">
        <w:rPr>
          <w:rFonts w:eastAsia="Times New Roman" w:cs="Times New Roman"/>
          <w:lang w:eastAsia="cs-CZ"/>
        </w:rPr>
        <w:t>odmínky“). Odchylná ujednání v této S</w:t>
      </w:r>
      <w:r w:rsidR="008B1447" w:rsidRPr="00397356">
        <w:rPr>
          <w:rFonts w:eastAsia="Times New Roman" w:cs="Times New Roman"/>
          <w:lang w:eastAsia="cs-CZ"/>
        </w:rPr>
        <w:t>m</w:t>
      </w:r>
      <w:r w:rsidR="00FB5045" w:rsidRPr="00397356">
        <w:rPr>
          <w:rFonts w:eastAsia="Times New Roman" w:cs="Times New Roman"/>
          <w:lang w:eastAsia="cs-CZ"/>
        </w:rPr>
        <w:t>l</w:t>
      </w:r>
      <w:r w:rsidR="00D85C5B" w:rsidRPr="00397356">
        <w:rPr>
          <w:rFonts w:eastAsia="Times New Roman" w:cs="Times New Roman"/>
          <w:lang w:eastAsia="cs-CZ"/>
        </w:rPr>
        <w:t>ouvě mají před zněním Obchodních podmínek přednost.</w:t>
      </w:r>
    </w:p>
    <w:p w14:paraId="479F92EB" w14:textId="77777777" w:rsidR="00850CBB" w:rsidRDefault="00850CBB" w:rsidP="00850CBB">
      <w:pPr>
        <w:pStyle w:val="Odstavecseseznamem"/>
        <w:overflowPunct w:val="0"/>
        <w:autoSpaceDE w:val="0"/>
        <w:autoSpaceDN w:val="0"/>
        <w:adjustRightInd w:val="0"/>
        <w:spacing w:after="120" w:line="276" w:lineRule="auto"/>
        <w:ind w:left="567"/>
        <w:textAlignment w:val="baseline"/>
        <w:rPr>
          <w:rFonts w:eastAsia="Times New Roman" w:cs="Times New Roman"/>
          <w:lang w:eastAsia="cs-CZ"/>
        </w:rPr>
      </w:pPr>
    </w:p>
    <w:p w14:paraId="4418F347" w14:textId="1E769E31" w:rsidR="00D85C5B" w:rsidRPr="00850CBB" w:rsidRDefault="00D85C5B" w:rsidP="00397356">
      <w:pPr>
        <w:pStyle w:val="Odstavecseseznamem"/>
        <w:numPr>
          <w:ilvl w:val="1"/>
          <w:numId w:val="18"/>
        </w:numPr>
        <w:overflowPunct w:val="0"/>
        <w:autoSpaceDE w:val="0"/>
        <w:autoSpaceDN w:val="0"/>
        <w:adjustRightInd w:val="0"/>
        <w:spacing w:after="120" w:line="276" w:lineRule="auto"/>
        <w:ind w:left="567" w:hanging="567"/>
        <w:textAlignment w:val="baseline"/>
        <w:rPr>
          <w:rFonts w:eastAsia="Times New Roman" w:cs="Times New Roman"/>
          <w:lang w:eastAsia="cs-CZ"/>
        </w:rPr>
      </w:pPr>
      <w:r w:rsidRPr="00850CBB">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4E1AD689"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76A51424" w14:textId="77777777" w:rsidR="003E7747" w:rsidRPr="000C5DA0" w:rsidRDefault="003E7747" w:rsidP="003E7747">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29F1796A" w14:textId="09D2F590" w:rsidR="00397356" w:rsidRDefault="00346E96"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highlight w:val="green"/>
        </w:rPr>
        <w:t>Tato Smlouva je vyhotovena v elektronické podobě, přičemž obě Smluvní strany obdrží její elektronický originál</w:t>
      </w:r>
      <w:r w:rsidR="00673324" w:rsidRPr="00397356">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97356">
        <w:rPr>
          <w:rFonts w:eastAsia="Times New Roman" w:cs="Times New Roman"/>
          <w:lang w:eastAsia="cs-CZ"/>
        </w:rPr>
        <w:t xml:space="preserve">sepsána ve </w:t>
      </w:r>
      <w:r w:rsidR="00DB12F8" w:rsidRPr="00B42F40">
        <w:t>"[</w:t>
      </w:r>
      <w:r w:rsidR="00DB12F8" w:rsidRPr="00397356">
        <w:rPr>
          <w:highlight w:val="yellow"/>
        </w:rPr>
        <w:t>VLOŽÍ PRODÁVAJÍCÍ</w:t>
      </w:r>
      <w:r w:rsidR="00DB12F8" w:rsidRPr="00B42F40">
        <w:t>]"</w:t>
      </w:r>
      <w:r w:rsidR="00DB12F8">
        <w:t xml:space="preserve"> </w:t>
      </w:r>
      <w:r w:rsidR="00D85C5B" w:rsidRPr="00397356">
        <w:rPr>
          <w:rFonts w:eastAsia="Times New Roman" w:cs="Times New Roman"/>
          <w:lang w:eastAsia="cs-CZ"/>
        </w:rPr>
        <w:t xml:space="preserve">vyhotoveních, </w:t>
      </w:r>
      <w:r w:rsidR="00791AC7" w:rsidRPr="00397356">
        <w:rPr>
          <w:rFonts w:eastAsia="Times New Roman" w:cs="Times New Roman"/>
          <w:lang w:eastAsia="cs-CZ"/>
        </w:rPr>
        <w:t>v</w:t>
      </w:r>
      <w:r w:rsidR="00DB12F8" w:rsidRPr="00397356">
        <w:rPr>
          <w:rFonts w:eastAsia="Times New Roman" w:cs="Times New Roman"/>
          <w:lang w:eastAsia="cs-CZ"/>
        </w:rPr>
        <w:t> </w:t>
      </w:r>
      <w:r w:rsidR="00DB12F8" w:rsidRPr="00397356">
        <w:rPr>
          <w:rFonts w:eastAsia="Times New Roman" w:cs="Times New Roman"/>
          <w:highlight w:val="green"/>
          <w:lang w:eastAsia="cs-CZ"/>
        </w:rPr>
        <w:t>jednom</w:t>
      </w:r>
      <w:r w:rsidR="00DB12F8" w:rsidRPr="00397356">
        <w:rPr>
          <w:rFonts w:eastAsia="Times New Roman" w:cs="Times New Roman"/>
          <w:lang w:eastAsia="cs-CZ"/>
        </w:rPr>
        <w:t xml:space="preserve"> </w:t>
      </w:r>
      <w:r w:rsidR="00791AC7" w:rsidRPr="00397356">
        <w:rPr>
          <w:rFonts w:eastAsia="Times New Roman" w:cs="Times New Roman"/>
          <w:lang w:eastAsia="cs-CZ"/>
        </w:rPr>
        <w:t xml:space="preserve">vyhotovení pro Kupujícího a </w:t>
      </w:r>
      <w:r w:rsidR="00DB12F8" w:rsidRPr="00B42F40">
        <w:t>"[</w:t>
      </w:r>
      <w:r w:rsidR="00DB12F8" w:rsidRPr="00397356">
        <w:rPr>
          <w:highlight w:val="yellow"/>
        </w:rPr>
        <w:t>VLOŽÍ PRODÁVAJÍCÍ</w:t>
      </w:r>
      <w:r w:rsidR="00DB12F8" w:rsidRPr="00B42F40">
        <w:t>]"</w:t>
      </w:r>
      <w:r w:rsidR="00DB12F8">
        <w:t xml:space="preserve"> </w:t>
      </w:r>
      <w:r w:rsidR="00791AC7" w:rsidRPr="00397356">
        <w:rPr>
          <w:rFonts w:eastAsia="Times New Roman" w:cs="Times New Roman"/>
          <w:lang w:eastAsia="cs-CZ"/>
        </w:rPr>
        <w:t>obdrží Prodávající</w:t>
      </w:r>
      <w:r w:rsidR="00D85C5B" w:rsidRPr="00397356">
        <w:rPr>
          <w:rFonts w:eastAsia="Times New Roman" w:cs="Times New Roman"/>
          <w:lang w:eastAsia="cs-CZ"/>
        </w:rPr>
        <w:t>.</w:t>
      </w:r>
    </w:p>
    <w:p w14:paraId="7D235586" w14:textId="77777777" w:rsidR="00397356" w:rsidRDefault="00397356" w:rsidP="00397356">
      <w:pPr>
        <w:pStyle w:val="Odstavecseseznamem"/>
        <w:overflowPunct w:val="0"/>
        <w:autoSpaceDE w:val="0"/>
        <w:autoSpaceDN w:val="0"/>
        <w:adjustRightInd w:val="0"/>
        <w:spacing w:after="120" w:line="276" w:lineRule="auto"/>
        <w:textAlignment w:val="baseline"/>
        <w:rPr>
          <w:rFonts w:eastAsia="Times New Roman" w:cs="Times New Roman"/>
          <w:lang w:eastAsia="cs-CZ"/>
        </w:rPr>
      </w:pPr>
    </w:p>
    <w:p w14:paraId="671CB7ED" w14:textId="77777777" w:rsidR="00397356" w:rsidRDefault="00D85C5B"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Times New Roman" w:cs="Times New Roman"/>
          <w:lang w:eastAsia="cs-CZ"/>
        </w:rPr>
        <w:t>Veškerá práva a povinnosti Smluvních stran vyplývající z</w:t>
      </w:r>
      <w:r w:rsidR="00FB5045" w:rsidRPr="00397356">
        <w:rPr>
          <w:rFonts w:eastAsia="Times New Roman" w:cs="Times New Roman"/>
          <w:lang w:eastAsia="cs-CZ"/>
        </w:rPr>
        <w:t> této S</w:t>
      </w:r>
      <w:r w:rsidRPr="00397356">
        <w:rPr>
          <w:rFonts w:eastAsia="Times New Roman" w:cs="Times New Roman"/>
          <w:lang w:eastAsia="cs-CZ"/>
        </w:rPr>
        <w:t>mlouvy se řídí českým právním řádem, Smluvní strany vylučují použití Úmluvy OSN o smlouvách o mezinárodní koupi zboží.</w:t>
      </w:r>
    </w:p>
    <w:p w14:paraId="735E1847" w14:textId="77777777" w:rsidR="00397356" w:rsidRPr="00397356" w:rsidRDefault="00397356" w:rsidP="00397356">
      <w:pPr>
        <w:pStyle w:val="Odstavecseseznamem"/>
        <w:rPr>
          <w:rFonts w:eastAsia="Times New Roman" w:cs="Times New Roman"/>
          <w:lang w:eastAsia="cs-CZ"/>
        </w:rPr>
      </w:pPr>
    </w:p>
    <w:p w14:paraId="2610CBCF" w14:textId="77777777" w:rsidR="00397356" w:rsidRDefault="00D85C5B"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Times New Roman" w:cs="Times New Roman"/>
          <w:lang w:eastAsia="cs-CZ"/>
        </w:rPr>
        <w:t xml:space="preserve">Smluvní vztahy neupravené </w:t>
      </w:r>
      <w:r w:rsidR="00FB5045" w:rsidRPr="00397356">
        <w:rPr>
          <w:rFonts w:eastAsia="Times New Roman" w:cs="Times New Roman"/>
          <w:lang w:eastAsia="cs-CZ"/>
        </w:rPr>
        <w:t>touto S</w:t>
      </w:r>
      <w:r w:rsidRPr="00397356">
        <w:rPr>
          <w:rFonts w:eastAsia="Times New Roman" w:cs="Times New Roman"/>
          <w:lang w:eastAsia="cs-CZ"/>
        </w:rPr>
        <w:t>mlouvou se řídí Občanským zákoníkem a dalšími právními předpisy.</w:t>
      </w:r>
    </w:p>
    <w:p w14:paraId="04562E38" w14:textId="77777777" w:rsidR="00397356" w:rsidRPr="00397356" w:rsidRDefault="00397356" w:rsidP="00397356">
      <w:pPr>
        <w:pStyle w:val="Odstavecseseznamem"/>
        <w:rPr>
          <w:rFonts w:eastAsia="Times New Roman" w:cs="Times New Roman"/>
          <w:lang w:eastAsia="cs-CZ"/>
        </w:rPr>
      </w:pPr>
    </w:p>
    <w:p w14:paraId="3BF0F166" w14:textId="77777777" w:rsidR="00397356" w:rsidRDefault="00D85C5B"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Times New Roman" w:cs="Times New Roman"/>
          <w:lang w:eastAsia="cs-CZ"/>
        </w:rPr>
        <w:t>Všechny spory vznikající z </w:t>
      </w:r>
      <w:r w:rsidR="00FB5045" w:rsidRPr="00397356">
        <w:rPr>
          <w:rFonts w:eastAsia="Times New Roman" w:cs="Times New Roman"/>
          <w:lang w:eastAsia="cs-CZ"/>
        </w:rPr>
        <w:t>této S</w:t>
      </w:r>
      <w:r w:rsidRPr="00397356">
        <w:rPr>
          <w:rFonts w:eastAsia="Times New Roman" w:cs="Times New Roman"/>
          <w:lang w:eastAsia="cs-CZ"/>
        </w:rPr>
        <w:t>mlouvy a v souvislosti s ní budou dle vůle Smluvních stran rozhodovány soudy České republiky, jakožto soudy výlučně příslušnými.</w:t>
      </w:r>
    </w:p>
    <w:p w14:paraId="0DDBE2E5" w14:textId="77777777" w:rsidR="00397356" w:rsidRPr="00397356" w:rsidRDefault="00397356" w:rsidP="00397356">
      <w:pPr>
        <w:pStyle w:val="Odstavecseseznamem"/>
        <w:rPr>
          <w:rFonts w:eastAsia="Times New Roman" w:cs="Times New Roman"/>
          <w:lang w:eastAsia="cs-CZ"/>
        </w:rPr>
      </w:pPr>
    </w:p>
    <w:p w14:paraId="553DA26B" w14:textId="77777777" w:rsidR="00397356" w:rsidRDefault="00FB5045"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Times New Roman" w:cs="Times New Roman"/>
          <w:lang w:eastAsia="cs-CZ"/>
        </w:rPr>
        <w:t>S</w:t>
      </w:r>
      <w:r w:rsidR="00D85C5B" w:rsidRPr="00397356">
        <w:rPr>
          <w:rFonts w:eastAsia="Times New Roman" w:cs="Times New Roman"/>
          <w:lang w:eastAsia="cs-CZ"/>
        </w:rPr>
        <w:t>mlouvu lze měnit pouze</w:t>
      </w:r>
      <w:r w:rsidR="008E5032" w:rsidRPr="00397356">
        <w:rPr>
          <w:rFonts w:eastAsia="Times New Roman" w:cs="Times New Roman"/>
          <w:lang w:eastAsia="cs-CZ"/>
        </w:rPr>
        <w:t xml:space="preserve"> vzestupně číslovanými</w:t>
      </w:r>
      <w:r w:rsidR="00D85C5B" w:rsidRPr="00397356">
        <w:rPr>
          <w:rFonts w:eastAsia="Times New Roman" w:cs="Times New Roman"/>
          <w:lang w:eastAsia="cs-CZ"/>
        </w:rPr>
        <w:t xml:space="preserve"> písemnými dodatky.</w:t>
      </w:r>
    </w:p>
    <w:p w14:paraId="50E45BE7" w14:textId="77777777" w:rsidR="00397356" w:rsidRPr="00397356" w:rsidRDefault="00397356" w:rsidP="00397356">
      <w:pPr>
        <w:pStyle w:val="Odstavecseseznamem"/>
        <w:rPr>
          <w:rFonts w:eastAsia="Times New Roman" w:cs="Times New Roman"/>
          <w:lang w:eastAsia="cs-CZ"/>
        </w:rPr>
      </w:pPr>
    </w:p>
    <w:p w14:paraId="0FD59CD7" w14:textId="77777777" w:rsidR="00397356" w:rsidRDefault="006D5BA2"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64A4405A" w14:textId="77777777" w:rsidR="00397356" w:rsidRPr="00397356" w:rsidRDefault="00397356" w:rsidP="00397356">
      <w:pPr>
        <w:pStyle w:val="Odstavecseseznamem"/>
        <w:rPr>
          <w:rFonts w:eastAsia="Calibri" w:cs="Times New Roman"/>
        </w:rPr>
      </w:pPr>
    </w:p>
    <w:p w14:paraId="5F1B9A5B" w14:textId="77777777" w:rsidR="00397356" w:rsidRPr="00397356" w:rsidRDefault="008B1447"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eastAsia="Calibri" w:cs="Times New Roman"/>
        </w:rPr>
        <w:t>Tato S</w:t>
      </w:r>
      <w:r w:rsidR="00D85C5B" w:rsidRPr="00397356">
        <w:rPr>
          <w:rFonts w:eastAsia="Calibri" w:cs="Times New Roman"/>
        </w:rPr>
        <w:t xml:space="preserve">mlouva nabývá platnosti okamžikem podpisu poslední ze </w:t>
      </w:r>
      <w:r w:rsidR="00FB5045" w:rsidRPr="00397356">
        <w:rPr>
          <w:rFonts w:eastAsia="Calibri" w:cs="Times New Roman"/>
        </w:rPr>
        <w:t>Sml</w:t>
      </w:r>
      <w:r w:rsidR="00D85C5B" w:rsidRPr="00397356">
        <w:rPr>
          <w:rFonts w:eastAsia="Calibri" w:cs="Times New Roman"/>
        </w:rPr>
        <w:t>uvních stran</w:t>
      </w:r>
      <w:r w:rsidR="00267241" w:rsidRPr="00397356">
        <w:rPr>
          <w:rFonts w:eastAsia="Calibri" w:cs="Times New Roman"/>
        </w:rPr>
        <w:t xml:space="preserve"> a </w:t>
      </w:r>
      <w:r w:rsidR="00D85C5B" w:rsidRPr="00397356">
        <w:rPr>
          <w:rFonts w:eastAsia="Calibri" w:cs="Times New Roman"/>
        </w:rPr>
        <w:t>účinnosti dnem uveřejnění v registru smluv.</w:t>
      </w:r>
    </w:p>
    <w:p w14:paraId="3BB23E8A" w14:textId="77777777" w:rsidR="00397356" w:rsidRPr="00397356" w:rsidRDefault="00397356" w:rsidP="00397356">
      <w:pPr>
        <w:pStyle w:val="Odstavecseseznamem"/>
        <w:rPr>
          <w:rFonts w:ascii="Verdana" w:hAnsi="Verdana" w:cstheme="minorHAnsi"/>
        </w:rPr>
      </w:pPr>
    </w:p>
    <w:p w14:paraId="421A56FD" w14:textId="7A59B903" w:rsidR="00A10341" w:rsidRPr="00397356" w:rsidRDefault="00A10341" w:rsidP="00397356">
      <w:pPr>
        <w:pStyle w:val="Odstavecseseznamem"/>
        <w:numPr>
          <w:ilvl w:val="1"/>
          <w:numId w:val="23"/>
        </w:numPr>
        <w:overflowPunct w:val="0"/>
        <w:autoSpaceDE w:val="0"/>
        <w:autoSpaceDN w:val="0"/>
        <w:adjustRightInd w:val="0"/>
        <w:spacing w:after="120" w:line="276" w:lineRule="auto"/>
        <w:textAlignment w:val="baseline"/>
        <w:rPr>
          <w:rFonts w:eastAsia="Times New Roman" w:cs="Times New Roman"/>
          <w:lang w:eastAsia="cs-CZ"/>
        </w:rPr>
      </w:pPr>
      <w:r w:rsidRPr="00397356">
        <w:rPr>
          <w:rFonts w:ascii="Verdana" w:hAnsi="Verdana" w:cstheme="minorHAnsi"/>
        </w:rPr>
        <w:t xml:space="preserve">Smluvní strany stvrzují, že při uzavírání této </w:t>
      </w:r>
      <w:r w:rsidR="003229C0" w:rsidRPr="00397356">
        <w:rPr>
          <w:rFonts w:ascii="Verdana" w:hAnsi="Verdana" w:cstheme="minorHAnsi"/>
        </w:rPr>
        <w:t>smlouvy</w:t>
      </w:r>
      <w:r w:rsidRPr="00397356">
        <w:rPr>
          <w:rFonts w:ascii="Verdana" w:hAnsi="Verdana" w:cstheme="minorHAnsi"/>
        </w:rPr>
        <w:t xml:space="preserve"> jednaly a postupovaly čestně a transparentně a zavazují se tak jednat i při plnění této </w:t>
      </w:r>
      <w:r w:rsidR="003229C0" w:rsidRPr="00397356">
        <w:rPr>
          <w:rFonts w:ascii="Verdana" w:hAnsi="Verdana" w:cstheme="minorHAnsi"/>
        </w:rPr>
        <w:t>smlouvy</w:t>
      </w:r>
      <w:r w:rsidRPr="0039735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08FC26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FA515B">
        <w:rPr>
          <w:rFonts w:eastAsia="Times New Roman" w:cs="Times New Roman"/>
          <w:lang w:eastAsia="cs-CZ"/>
        </w:rPr>
        <w:t>Formulář pro cenovou nabídku</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652"/>
        <w:gridCol w:w="1134"/>
        <w:gridCol w:w="4056"/>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36C6F205" w14:textId="7E912600" w:rsidR="00F5412E" w:rsidRPr="00512F8C" w:rsidRDefault="00512F8C" w:rsidP="00512F8C">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576D4FC5" w14:textId="77777777" w:rsidR="0040201B" w:rsidRPr="0040201B" w:rsidRDefault="0040201B" w:rsidP="00C15360">
      <w:pPr>
        <w:suppressAutoHyphens/>
        <w:spacing w:before="120" w:line="276" w:lineRule="auto"/>
      </w:pPr>
    </w:p>
    <w:p w14:paraId="179A0C57" w14:textId="77777777" w:rsidR="0040201B" w:rsidRPr="0040201B" w:rsidRDefault="0040201B" w:rsidP="00C15360">
      <w:pPr>
        <w:suppressAutoHyphens/>
        <w:spacing w:before="120" w:line="276" w:lineRule="auto"/>
      </w:pPr>
    </w:p>
    <w:p w14:paraId="1590F1C9" w14:textId="77777777" w:rsidR="0040201B" w:rsidRDefault="0040201B">
      <w:pPr>
        <w:sectPr w:rsidR="0040201B"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br w:type="page"/>
      </w:r>
    </w:p>
    <w:p w14:paraId="38EE26E1" w14:textId="5F0CF27B" w:rsidR="0040201B" w:rsidRDefault="0040201B" w:rsidP="0040201B">
      <w:pPr>
        <w:pStyle w:val="Nadpisbezsl1-1"/>
      </w:pPr>
      <w:r>
        <w:lastRenderedPageBreak/>
        <w:t>Příloha č. 2</w:t>
      </w:r>
    </w:p>
    <w:p w14:paraId="55658CBD" w14:textId="7962E347" w:rsidR="00A76BA7" w:rsidRPr="003E7747" w:rsidRDefault="00FA515B" w:rsidP="00A76BA7">
      <w:pPr>
        <w:pStyle w:val="Textbezodsazen"/>
        <w:rPr>
          <w:b/>
        </w:rPr>
      </w:pPr>
      <w:r>
        <w:rPr>
          <w:b/>
        </w:rPr>
        <w:t>Formulář pro cenovou nabídku</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339693C"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293A">
            <w:rPr>
              <w:rStyle w:val="slostrnky"/>
              <w:noProof/>
            </w:rPr>
            <w:t>5</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F7B70B"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D657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D2EBE07"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D293A">
            <w:rPr>
              <w:rStyle w:val="slostrnky"/>
              <w:noProof/>
            </w:rPr>
            <w:t>5</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7C8C8"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A7777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1EAA" w14:paraId="2548A860" w14:textId="77777777" w:rsidTr="00093A53">
      <w:tc>
        <w:tcPr>
          <w:tcW w:w="1361" w:type="dxa"/>
          <w:tcMar>
            <w:left w:w="0" w:type="dxa"/>
            <w:right w:w="0" w:type="dxa"/>
          </w:tcMar>
          <w:vAlign w:val="bottom"/>
        </w:tcPr>
        <w:p w14:paraId="00372478" w14:textId="0FE971CF" w:rsidR="00001EAA" w:rsidRPr="00B8518B" w:rsidRDefault="00001EAA" w:rsidP="009A3054">
          <w:pPr>
            <w:pStyle w:val="Zpat"/>
            <w:rPr>
              <w:rStyle w:val="slostrnky"/>
            </w:rPr>
          </w:pPr>
        </w:p>
      </w:tc>
      <w:tc>
        <w:tcPr>
          <w:tcW w:w="3458" w:type="dxa"/>
          <w:shd w:val="clear" w:color="auto" w:fill="auto"/>
          <w:tcMar>
            <w:left w:w="0" w:type="dxa"/>
            <w:right w:w="0" w:type="dxa"/>
          </w:tcMar>
        </w:tcPr>
        <w:p w14:paraId="5E7EC492" w14:textId="77777777" w:rsidR="00001EAA" w:rsidRDefault="00001EAA" w:rsidP="00093A53">
          <w:pPr>
            <w:pStyle w:val="Zpat"/>
          </w:pPr>
          <w:r>
            <w:t>Správa železnic, státní organizace</w:t>
          </w:r>
        </w:p>
        <w:p w14:paraId="4047EF9F" w14:textId="77777777" w:rsidR="00001EAA" w:rsidRDefault="00001EAA"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22C0877F" w14:textId="77777777" w:rsidR="00001EAA" w:rsidRDefault="00001EAA" w:rsidP="00093A53">
          <w:pPr>
            <w:pStyle w:val="Zpat"/>
          </w:pPr>
          <w:r>
            <w:t>Sídlo: Dlážděná 1003/7, 110 00 Praha 1</w:t>
          </w:r>
        </w:p>
        <w:p w14:paraId="4F1AD9B8" w14:textId="77777777" w:rsidR="00001EAA" w:rsidRDefault="00001EAA" w:rsidP="00093A53">
          <w:pPr>
            <w:pStyle w:val="Zpat"/>
          </w:pPr>
          <w:r>
            <w:t>IČ: 709 94 234 DIČ: CZ 709 94 234</w:t>
          </w:r>
        </w:p>
        <w:p w14:paraId="541F45BA" w14:textId="3477F2FB" w:rsidR="00001EAA" w:rsidRDefault="00001EAA" w:rsidP="00B74357">
          <w:pPr>
            <w:pStyle w:val="Zpat"/>
          </w:pPr>
          <w:r>
            <w:t>spravazeleznic.cz</w:t>
          </w:r>
        </w:p>
      </w:tc>
      <w:tc>
        <w:tcPr>
          <w:tcW w:w="2921" w:type="dxa"/>
        </w:tcPr>
        <w:p w14:paraId="4EC2E143" w14:textId="77777777" w:rsidR="00001EAA" w:rsidRDefault="00001EAA" w:rsidP="00093A53">
          <w:pPr>
            <w:pStyle w:val="Zpat"/>
          </w:pPr>
        </w:p>
      </w:tc>
    </w:tr>
  </w:tbl>
  <w:p w14:paraId="6F7026F7" w14:textId="77777777" w:rsidR="00001EAA" w:rsidRPr="00B8518B" w:rsidRDefault="00001EAA" w:rsidP="00460660">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0C0C650B" wp14:editId="528D0A8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CAB22D" id="Straight Connector 7"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07DA7581" wp14:editId="62DA84C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E6BB9"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00A283A"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FF6609">
            <w:rPr>
              <w:rFonts w:asciiTheme="minorHAnsi" w:hAnsiTheme="minorHAnsi"/>
              <w:b w:val="0"/>
              <w:color w:val="auto"/>
              <w:sz w:val="16"/>
              <w:szCs w:val="18"/>
              <w:highlight w:val="green"/>
            </w:rPr>
            <w:t>2</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685CF5"/>
    <w:multiLevelType w:val="multilevel"/>
    <w:tmpl w:val="F434FF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525888"/>
    <w:multiLevelType w:val="hybridMultilevel"/>
    <w:tmpl w:val="D4D8E962"/>
    <w:lvl w:ilvl="0" w:tplc="6ECABFD2">
      <w:start w:val="1"/>
      <w:numFmt w:val="decimal"/>
      <w:lvlText w:val="%1)"/>
      <w:lvlJc w:val="left"/>
      <w:pPr>
        <w:ind w:left="720" w:hanging="360"/>
      </w:pPr>
      <w:rPr>
        <w:rFonts w:asciiTheme="minorHAnsi" w:eastAsia="Batang"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B4A68"/>
    <w:multiLevelType w:val="multilevel"/>
    <w:tmpl w:val="83BA0CDC"/>
    <w:lvl w:ilvl="0">
      <w:start w:val="8"/>
      <w:numFmt w:val="decimal"/>
      <w:lvlText w:val="%1."/>
      <w:lvlJc w:val="left"/>
      <w:pPr>
        <w:ind w:left="360" w:hanging="360"/>
      </w:pPr>
      <w:rPr>
        <w:rFonts w:eastAsia="MS Mincho" w:cstheme="minorBidi" w:hint="default"/>
      </w:rPr>
    </w:lvl>
    <w:lvl w:ilvl="1">
      <w:start w:val="3"/>
      <w:numFmt w:val="decimal"/>
      <w:lvlText w:val="%1.%2."/>
      <w:lvlJc w:val="left"/>
      <w:pPr>
        <w:ind w:left="720" w:hanging="720"/>
      </w:pPr>
      <w:rPr>
        <w:rFonts w:eastAsia="MS Mincho" w:cstheme="minorBidi" w:hint="default"/>
      </w:rPr>
    </w:lvl>
    <w:lvl w:ilvl="2">
      <w:start w:val="1"/>
      <w:numFmt w:val="decimal"/>
      <w:lvlText w:val="%1.%2.%3."/>
      <w:lvlJc w:val="left"/>
      <w:pPr>
        <w:ind w:left="720" w:hanging="720"/>
      </w:pPr>
      <w:rPr>
        <w:rFonts w:eastAsia="MS Mincho" w:cstheme="minorBidi" w:hint="default"/>
      </w:rPr>
    </w:lvl>
    <w:lvl w:ilvl="3">
      <w:start w:val="1"/>
      <w:numFmt w:val="decimal"/>
      <w:lvlText w:val="%1.%2.%3.%4."/>
      <w:lvlJc w:val="left"/>
      <w:pPr>
        <w:ind w:left="1080" w:hanging="1080"/>
      </w:pPr>
      <w:rPr>
        <w:rFonts w:eastAsia="MS Mincho" w:cstheme="minorBidi" w:hint="default"/>
      </w:rPr>
    </w:lvl>
    <w:lvl w:ilvl="4">
      <w:start w:val="1"/>
      <w:numFmt w:val="decimal"/>
      <w:lvlText w:val="%1.%2.%3.%4.%5."/>
      <w:lvlJc w:val="left"/>
      <w:pPr>
        <w:ind w:left="1080" w:hanging="1080"/>
      </w:pPr>
      <w:rPr>
        <w:rFonts w:eastAsia="MS Mincho" w:cstheme="minorBidi" w:hint="default"/>
      </w:rPr>
    </w:lvl>
    <w:lvl w:ilvl="5">
      <w:start w:val="1"/>
      <w:numFmt w:val="decimal"/>
      <w:lvlText w:val="%1.%2.%3.%4.%5.%6."/>
      <w:lvlJc w:val="left"/>
      <w:pPr>
        <w:ind w:left="1440" w:hanging="1440"/>
      </w:pPr>
      <w:rPr>
        <w:rFonts w:eastAsia="MS Mincho" w:cstheme="minorBidi" w:hint="default"/>
      </w:rPr>
    </w:lvl>
    <w:lvl w:ilvl="6">
      <w:start w:val="1"/>
      <w:numFmt w:val="decimal"/>
      <w:lvlText w:val="%1.%2.%3.%4.%5.%6.%7."/>
      <w:lvlJc w:val="left"/>
      <w:pPr>
        <w:ind w:left="1800" w:hanging="1800"/>
      </w:pPr>
      <w:rPr>
        <w:rFonts w:eastAsia="MS Mincho" w:cstheme="minorBidi" w:hint="default"/>
      </w:rPr>
    </w:lvl>
    <w:lvl w:ilvl="7">
      <w:start w:val="1"/>
      <w:numFmt w:val="decimal"/>
      <w:lvlText w:val="%1.%2.%3.%4.%5.%6.%7.%8."/>
      <w:lvlJc w:val="left"/>
      <w:pPr>
        <w:ind w:left="1800" w:hanging="1800"/>
      </w:pPr>
      <w:rPr>
        <w:rFonts w:eastAsia="MS Mincho" w:cstheme="minorBidi" w:hint="default"/>
      </w:rPr>
    </w:lvl>
    <w:lvl w:ilvl="8">
      <w:start w:val="1"/>
      <w:numFmt w:val="decimal"/>
      <w:lvlText w:val="%1.%2.%3.%4.%5.%6.%7.%8.%9."/>
      <w:lvlJc w:val="left"/>
      <w:pPr>
        <w:ind w:left="2160" w:hanging="2160"/>
      </w:pPr>
      <w:rPr>
        <w:rFonts w:eastAsia="MS Mincho" w:cstheme="minorBidi" w:hint="default"/>
      </w:rPr>
    </w:lvl>
  </w:abstractNum>
  <w:abstractNum w:abstractNumId="17" w15:restartNumberingAfterBreak="0">
    <w:nsid w:val="6E7A0584"/>
    <w:multiLevelType w:val="multilevel"/>
    <w:tmpl w:val="96FCB7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5"/>
  </w:num>
  <w:num w:numId="2" w16cid:durableId="2119718016">
    <w:abstractNumId w:val="2"/>
  </w:num>
  <w:num w:numId="3" w16cid:durableId="1633827690">
    <w:abstractNumId w:val="7"/>
  </w:num>
  <w:num w:numId="4" w16cid:durableId="1675692648">
    <w:abstractNumId w:val="19"/>
  </w:num>
  <w:num w:numId="5" w16cid:durableId="982657769">
    <w:abstractNumId w:val="11"/>
  </w:num>
  <w:num w:numId="6" w16cid:durableId="1665162263">
    <w:abstractNumId w:val="9"/>
  </w:num>
  <w:num w:numId="7" w16cid:durableId="1272317211">
    <w:abstractNumId w:val="13"/>
  </w:num>
  <w:num w:numId="8" w16cid:durableId="876745416">
    <w:abstractNumId w:val="18"/>
  </w:num>
  <w:num w:numId="9" w16cid:durableId="1729572222">
    <w:abstractNumId w:val="20"/>
  </w:num>
  <w:num w:numId="10" w16cid:durableId="623855684">
    <w:abstractNumId w:val="15"/>
  </w:num>
  <w:num w:numId="11" w16cid:durableId="1081682047">
    <w:abstractNumId w:val="10"/>
  </w:num>
  <w:num w:numId="12" w16cid:durableId="1359741904">
    <w:abstractNumId w:val="3"/>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4"/>
  </w:num>
  <w:num w:numId="16" w16cid:durableId="1965429780">
    <w:abstractNumId w:val="0"/>
  </w:num>
  <w:num w:numId="17" w16cid:durableId="937641424">
    <w:abstractNumId w:val="12"/>
  </w:num>
  <w:num w:numId="18" w16cid:durableId="1534613187">
    <w:abstractNumId w:val="8"/>
  </w:num>
  <w:num w:numId="19" w16cid:durableId="1418207580">
    <w:abstractNumId w:val="6"/>
  </w:num>
  <w:num w:numId="20" w16cid:durableId="32074528">
    <w:abstractNumId w:val="4"/>
  </w:num>
  <w:num w:numId="21" w16cid:durableId="844054651">
    <w:abstractNumId w:val="11"/>
  </w:num>
  <w:num w:numId="22" w16cid:durableId="1879050767">
    <w:abstractNumId w:val="17"/>
  </w:num>
  <w:num w:numId="23" w16cid:durableId="169865504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1828"/>
    <w:rsid w:val="00001EAA"/>
    <w:rsid w:val="0000739F"/>
    <w:rsid w:val="00033414"/>
    <w:rsid w:val="00034060"/>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47C1"/>
    <w:rsid w:val="00176797"/>
    <w:rsid w:val="001813BF"/>
    <w:rsid w:val="00182910"/>
    <w:rsid w:val="00184743"/>
    <w:rsid w:val="001861B8"/>
    <w:rsid w:val="00191C2C"/>
    <w:rsid w:val="001B2C35"/>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3C85"/>
    <w:rsid w:val="003119BE"/>
    <w:rsid w:val="00317167"/>
    <w:rsid w:val="00322681"/>
    <w:rsid w:val="003229C0"/>
    <w:rsid w:val="00341DCF"/>
    <w:rsid w:val="00344416"/>
    <w:rsid w:val="00346E96"/>
    <w:rsid w:val="00357BC6"/>
    <w:rsid w:val="00377B4D"/>
    <w:rsid w:val="00385A72"/>
    <w:rsid w:val="003956C6"/>
    <w:rsid w:val="00397356"/>
    <w:rsid w:val="003A63EE"/>
    <w:rsid w:val="003B39EC"/>
    <w:rsid w:val="003D682F"/>
    <w:rsid w:val="003E7747"/>
    <w:rsid w:val="0040201B"/>
    <w:rsid w:val="00402206"/>
    <w:rsid w:val="004113AF"/>
    <w:rsid w:val="0041746F"/>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293A"/>
    <w:rsid w:val="004E10AB"/>
    <w:rsid w:val="004E143C"/>
    <w:rsid w:val="004E19DE"/>
    <w:rsid w:val="004E3A53"/>
    <w:rsid w:val="004F3431"/>
    <w:rsid w:val="004F4B9B"/>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104FA"/>
    <w:rsid w:val="0061068E"/>
    <w:rsid w:val="00621656"/>
    <w:rsid w:val="00623216"/>
    <w:rsid w:val="0062429F"/>
    <w:rsid w:val="006347B6"/>
    <w:rsid w:val="006426AF"/>
    <w:rsid w:val="00660AD3"/>
    <w:rsid w:val="00660FBE"/>
    <w:rsid w:val="006678FF"/>
    <w:rsid w:val="00673324"/>
    <w:rsid w:val="00677B7F"/>
    <w:rsid w:val="00697550"/>
    <w:rsid w:val="006A04C7"/>
    <w:rsid w:val="006A1480"/>
    <w:rsid w:val="006A5570"/>
    <w:rsid w:val="006A62C9"/>
    <w:rsid w:val="006A689C"/>
    <w:rsid w:val="006B3D79"/>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38A3"/>
    <w:rsid w:val="00807DD0"/>
    <w:rsid w:val="00823FBB"/>
    <w:rsid w:val="00850CBB"/>
    <w:rsid w:val="00864899"/>
    <w:rsid w:val="008659F3"/>
    <w:rsid w:val="008673CC"/>
    <w:rsid w:val="00885E3E"/>
    <w:rsid w:val="00886D4B"/>
    <w:rsid w:val="00895406"/>
    <w:rsid w:val="008A3568"/>
    <w:rsid w:val="008B1447"/>
    <w:rsid w:val="008B2111"/>
    <w:rsid w:val="008D03B9"/>
    <w:rsid w:val="008E5032"/>
    <w:rsid w:val="008F18D6"/>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D5640"/>
    <w:rsid w:val="00DE56F2"/>
    <w:rsid w:val="00DE6757"/>
    <w:rsid w:val="00DF116D"/>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A515B"/>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9</Pages>
  <Words>2323</Words>
  <Characters>13707</Characters>
  <Application>Microsoft Office Word</Application>
  <DocSecurity>0</DocSecurity>
  <Lines>114</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125</cp:revision>
  <cp:lastPrinted>2017-11-28T17:18:00Z</cp:lastPrinted>
  <dcterms:created xsi:type="dcterms:W3CDTF">2020-01-20T10:37:00Z</dcterms:created>
  <dcterms:modified xsi:type="dcterms:W3CDTF">2022-06-09T06:13:00Z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